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3EE09" w14:textId="1B84789F" w:rsidR="001A3F1B" w:rsidRDefault="00684A8C" w:rsidP="003F1B85">
      <w:pPr>
        <w:pStyle w:val="Heading1"/>
      </w:pPr>
      <w:r>
        <w:t>FEP as the Community-lead for Fastershire Broadband in Cinderford</w:t>
      </w:r>
      <w:r w:rsidR="001A3F1B">
        <w:t xml:space="preserve"> Proposal</w:t>
      </w:r>
    </w:p>
    <w:p w14:paraId="7990B086" w14:textId="058FF0DB" w:rsidR="006809DD" w:rsidRPr="001A3F1B" w:rsidRDefault="003F1B85" w:rsidP="001A3F1B">
      <w:pPr>
        <w:pStyle w:val="Heading2"/>
        <w:rPr>
          <w:b/>
          <w:i/>
        </w:rPr>
      </w:pPr>
      <w:r w:rsidRPr="001A3F1B">
        <w:rPr>
          <w:b/>
          <w:i/>
        </w:rPr>
        <w:t>Introduction</w:t>
      </w:r>
    </w:p>
    <w:p w14:paraId="6FB93581" w14:textId="5EA0234F" w:rsidR="002B4FF0" w:rsidRPr="00A27E71" w:rsidRDefault="003F1B85" w:rsidP="003F1B85">
      <w:pPr>
        <w:rPr>
          <w:rFonts w:cs="Arial"/>
          <w:sz w:val="22"/>
          <w:lang w:val="en-US"/>
        </w:rPr>
      </w:pPr>
      <w:r w:rsidRPr="00A27E71">
        <w:rPr>
          <w:rFonts w:cs="Arial"/>
          <w:sz w:val="22"/>
          <w:lang w:val="en-US"/>
        </w:rPr>
        <w:t xml:space="preserve">This paper seeks to approval </w:t>
      </w:r>
      <w:r w:rsidR="001A3F1B" w:rsidRPr="00A27E71">
        <w:rPr>
          <w:rFonts w:cs="Arial"/>
          <w:sz w:val="22"/>
          <w:lang w:val="en-US"/>
        </w:rPr>
        <w:t xml:space="preserve">to proceed with </w:t>
      </w:r>
      <w:r w:rsidR="00684A8C">
        <w:rPr>
          <w:rFonts w:cs="Arial"/>
          <w:sz w:val="22"/>
          <w:lang w:val="en-US"/>
        </w:rPr>
        <w:t>FEP acting as the community group leading the deployment of Gigabit Broadband, using the Fastershire Community Grant scheme in the Central Cinderford Area</w:t>
      </w:r>
      <w:r w:rsidR="001A3F1B" w:rsidRPr="00A27E71">
        <w:rPr>
          <w:rFonts w:cs="Arial"/>
          <w:sz w:val="22"/>
          <w:lang w:val="en-US"/>
        </w:rPr>
        <w:t>.</w:t>
      </w:r>
      <w:r w:rsidR="002B4FF0" w:rsidRPr="00A27E71">
        <w:rPr>
          <w:rFonts w:cs="Arial"/>
          <w:sz w:val="22"/>
          <w:lang w:val="en-US"/>
        </w:rPr>
        <w:t xml:space="preserve"> </w:t>
      </w:r>
    </w:p>
    <w:p w14:paraId="7E17BC99" w14:textId="5D2B6228" w:rsidR="003F1B85" w:rsidRDefault="002B4FF0" w:rsidP="003F1B85">
      <w:pPr>
        <w:rPr>
          <w:rFonts w:cs="Arial"/>
          <w:sz w:val="22"/>
          <w:lang w:val="en-US"/>
        </w:rPr>
      </w:pPr>
      <w:r w:rsidRPr="00A27E71">
        <w:rPr>
          <w:rFonts w:cs="Arial"/>
          <w:sz w:val="22"/>
          <w:lang w:val="en-US"/>
        </w:rPr>
        <w:t xml:space="preserve">Acceptance of this proposal enables </w:t>
      </w:r>
      <w:r w:rsidR="00684A8C">
        <w:rPr>
          <w:rFonts w:cs="Arial"/>
          <w:sz w:val="22"/>
          <w:lang w:val="en-US"/>
        </w:rPr>
        <w:t>FEP to proceed in driving up interest from the local community, and when necessary act as the community group applying for the funding from the Fastershire Community Grant.</w:t>
      </w:r>
    </w:p>
    <w:p w14:paraId="2E56EB3F" w14:textId="61C943B5" w:rsidR="00684A8C" w:rsidRPr="001A3F1B" w:rsidRDefault="00684A8C" w:rsidP="00684A8C">
      <w:pPr>
        <w:pStyle w:val="Heading2"/>
        <w:rPr>
          <w:b/>
          <w:i/>
        </w:rPr>
      </w:pPr>
      <w:r>
        <w:rPr>
          <w:b/>
          <w:i/>
        </w:rPr>
        <w:t>Context</w:t>
      </w:r>
    </w:p>
    <w:p w14:paraId="646170F2" w14:textId="55A4E566" w:rsidR="00684A8C" w:rsidRDefault="00684A8C" w:rsidP="003F1B85">
      <w:pPr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In September 2020 Cinderford Town Council referred a local resident to</w:t>
      </w:r>
      <w:r w:rsidR="00722DD9">
        <w:rPr>
          <w:rFonts w:cs="Arial"/>
          <w:sz w:val="22"/>
          <w:lang w:val="en-US"/>
        </w:rPr>
        <w:t xml:space="preserve"> the FEP Digital Connectivity group to raise issues and request help regarding the poor performance of Broadband in the Central Cinderford area. Following discussion with the resident a timeline was outline, identifying the hard work put in by the resident and town council of Cinderford, but also highlighted a lack of overall success in improving the local broadband speed.</w:t>
      </w:r>
    </w:p>
    <w:p w14:paraId="58F2C75F" w14:textId="586A65EB" w:rsidR="00722DD9" w:rsidRDefault="00722DD9" w:rsidP="003F1B85">
      <w:pPr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Timeline:</w:t>
      </w:r>
    </w:p>
    <w:p w14:paraId="61A181B1" w14:textId="33A0DF75" w:rsidR="00722DD9" w:rsidRDefault="00722DD9" w:rsidP="003F1B85">
      <w:pPr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Summer 2019</w:t>
      </w:r>
    </w:p>
    <w:p w14:paraId="04D4D432" w14:textId="4D8DA18E" w:rsidR="00722DD9" w:rsidRDefault="00722DD9" w:rsidP="00722DD9">
      <w:pPr>
        <w:ind w:left="720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Resident researched local broadband speed in Cinderford (connections were listed as FTTC (upto 80mbps))</w:t>
      </w:r>
    </w:p>
    <w:p w14:paraId="6FAA2F86" w14:textId="52B16D83" w:rsidR="00722DD9" w:rsidRDefault="00722DD9" w:rsidP="003F1B85">
      <w:pPr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Autumn 2019</w:t>
      </w:r>
    </w:p>
    <w:p w14:paraId="1F2A35A8" w14:textId="444A476F" w:rsidR="00722DD9" w:rsidRDefault="00722DD9" w:rsidP="00722DD9">
      <w:pPr>
        <w:ind w:left="720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Resident moved to Cinderford</w:t>
      </w:r>
    </w:p>
    <w:p w14:paraId="70A35552" w14:textId="0F184A32" w:rsidR="00722DD9" w:rsidRDefault="00722DD9" w:rsidP="00722DD9">
      <w:pPr>
        <w:ind w:left="720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Order placed for FTTC Broadband connection</w:t>
      </w:r>
    </w:p>
    <w:p w14:paraId="31E312AB" w14:textId="7D5760BA" w:rsidR="00722DD9" w:rsidRDefault="00722DD9" w:rsidP="00722DD9">
      <w:pPr>
        <w:ind w:left="720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 xml:space="preserve">Order cancelled by BT as property </w:t>
      </w:r>
      <w:r>
        <w:rPr>
          <w:rFonts w:cs="Arial"/>
          <w:b/>
          <w:bCs/>
          <w:sz w:val="22"/>
          <w:u w:val="single"/>
          <w:lang w:val="en-US"/>
        </w:rPr>
        <w:t>was not</w:t>
      </w:r>
      <w:r>
        <w:rPr>
          <w:rFonts w:cs="Arial"/>
          <w:sz w:val="22"/>
          <w:lang w:val="en-US"/>
        </w:rPr>
        <w:t xml:space="preserve"> connected to a FTTC enabled cabinet (Green box)</w:t>
      </w:r>
    </w:p>
    <w:p w14:paraId="1C26AED7" w14:textId="4B9A2662" w:rsidR="00722DD9" w:rsidRDefault="00722DD9" w:rsidP="00722DD9">
      <w:pPr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Winter 2019</w:t>
      </w:r>
    </w:p>
    <w:p w14:paraId="73BF6D51" w14:textId="02E53B7A" w:rsidR="00722DD9" w:rsidRDefault="00722DD9" w:rsidP="00722DD9">
      <w:pPr>
        <w:ind w:left="720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Additional research in issue identified properties directly connected to the BT exchange were not able to have FTTC</w:t>
      </w:r>
    </w:p>
    <w:p w14:paraId="6B04AF0A" w14:textId="2259398D" w:rsidR="00722DD9" w:rsidRDefault="00722DD9" w:rsidP="00722DD9">
      <w:pPr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2020</w:t>
      </w:r>
    </w:p>
    <w:p w14:paraId="5401959C" w14:textId="6CD096BE" w:rsidR="00722DD9" w:rsidRDefault="00722DD9" w:rsidP="00722DD9">
      <w:pPr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ab/>
        <w:t>Resident in touch with Openreach Rural Community Manager</w:t>
      </w:r>
    </w:p>
    <w:p w14:paraId="1933DECD" w14:textId="559258DD" w:rsidR="00722DD9" w:rsidRDefault="00722DD9" w:rsidP="00722DD9">
      <w:pPr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ab/>
        <w:t xml:space="preserve">81 properties identified as connected directly to the Exchange (therefore cannot have </w:t>
      </w:r>
      <w:proofErr w:type="spellStart"/>
      <w:r>
        <w:rPr>
          <w:rFonts w:cs="Arial"/>
          <w:sz w:val="22"/>
          <w:lang w:val="en-US"/>
        </w:rPr>
        <w:t>Fibre</w:t>
      </w:r>
      <w:proofErr w:type="spellEnd"/>
      <w:r>
        <w:rPr>
          <w:rFonts w:cs="Arial"/>
          <w:sz w:val="22"/>
          <w:lang w:val="en-US"/>
        </w:rPr>
        <w:t>)</w:t>
      </w:r>
    </w:p>
    <w:p w14:paraId="6A67F644" w14:textId="6EEFEEAF" w:rsidR="00722DD9" w:rsidRDefault="00722DD9" w:rsidP="00722DD9">
      <w:pPr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ab/>
        <w:t>Area is classified as a Town so does not qualify for the Gigabit Rural Voucher Scheme</w:t>
      </w:r>
    </w:p>
    <w:p w14:paraId="05A4AC55" w14:textId="3740EC37" w:rsidR="00EC1252" w:rsidRDefault="00EC1252" w:rsidP="00722DD9">
      <w:pPr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ab/>
        <w:t>Existing broadband is ADSL 2 often performs at less that 10mbps, and is highly unstable</w:t>
      </w:r>
    </w:p>
    <w:p w14:paraId="50B2C8BB" w14:textId="77777777" w:rsidR="00EC1252" w:rsidRDefault="00EC1252" w:rsidP="00722DD9">
      <w:pPr>
        <w:rPr>
          <w:rFonts w:cs="Arial"/>
          <w:sz w:val="22"/>
          <w:lang w:val="en-US"/>
        </w:rPr>
      </w:pPr>
    </w:p>
    <w:p w14:paraId="321C592B" w14:textId="27795DB0" w:rsidR="00722DD9" w:rsidRDefault="00722DD9" w:rsidP="00722DD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The Issue</w:t>
      </w:r>
    </w:p>
    <w:p w14:paraId="631FCF68" w14:textId="53DA8D29" w:rsidR="00EC1252" w:rsidRDefault="00722DD9" w:rsidP="00722DD9">
      <w:pPr>
        <w:rPr>
          <w:rFonts w:cs="Arial"/>
          <w:iCs/>
          <w:sz w:val="22"/>
          <w:lang w:val="en-US"/>
        </w:rPr>
      </w:pPr>
      <w:r>
        <w:rPr>
          <w:rFonts w:cs="Arial"/>
          <w:iCs/>
          <w:sz w:val="22"/>
          <w:lang w:val="en-US"/>
        </w:rPr>
        <w:t>BT requires the resident to sign up 82 properties to the scheme</w:t>
      </w:r>
      <w:r w:rsidR="00EC1252">
        <w:rPr>
          <w:rFonts w:cs="Arial"/>
          <w:iCs/>
          <w:sz w:val="22"/>
          <w:lang w:val="en-US"/>
        </w:rPr>
        <w:t xml:space="preserve"> to reduce the cost per connection to £62 each. This has causes significant issues and anecdotal evidence suggests:</w:t>
      </w:r>
    </w:p>
    <w:p w14:paraId="02665004" w14:textId="1C7720FA" w:rsidR="00EC1252" w:rsidRDefault="00EC1252" w:rsidP="00EC1252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2"/>
          <w:lang w:val="en-US"/>
        </w:rPr>
      </w:pPr>
      <w:r w:rsidRPr="00EC1252">
        <w:rPr>
          <w:rFonts w:ascii="Arial" w:hAnsi="Arial" w:cs="Arial"/>
          <w:iCs/>
          <w:sz w:val="22"/>
          <w:lang w:val="en-US"/>
        </w:rPr>
        <w:t xml:space="preserve">Not all property owners </w:t>
      </w:r>
      <w:r>
        <w:rPr>
          <w:rFonts w:ascii="Arial" w:hAnsi="Arial" w:cs="Arial"/>
          <w:iCs/>
          <w:sz w:val="22"/>
          <w:lang w:val="en-US"/>
        </w:rPr>
        <w:t>will take up the offer = increasing costs</w:t>
      </w:r>
    </w:p>
    <w:p w14:paraId="2138EA4B" w14:textId="49FFF5C4" w:rsidR="00EC1252" w:rsidRDefault="00EC1252" w:rsidP="00EC1252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2"/>
          <w:lang w:val="en-US"/>
        </w:rPr>
      </w:pPr>
      <w:r>
        <w:rPr>
          <w:rFonts w:ascii="Arial" w:hAnsi="Arial" w:cs="Arial"/>
          <w:iCs/>
          <w:sz w:val="22"/>
          <w:lang w:val="en-US"/>
        </w:rPr>
        <w:t>Local residents have reported being misled over previous broadband promises and do not want to “waste time” on another project</w:t>
      </w:r>
    </w:p>
    <w:p w14:paraId="7B8433BF" w14:textId="0F26C2F9" w:rsidR="00EC1252" w:rsidRPr="00EC1252" w:rsidRDefault="00EC1252" w:rsidP="00EC1252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2"/>
          <w:lang w:val="en-US"/>
        </w:rPr>
      </w:pPr>
      <w:r>
        <w:rPr>
          <w:rFonts w:ascii="Arial" w:hAnsi="Arial" w:cs="Arial"/>
          <w:iCs/>
          <w:sz w:val="22"/>
          <w:lang w:val="en-US"/>
        </w:rPr>
        <w:t>Many premises do have FTTC (with variable performance) so the issue is not “whole area”</w:t>
      </w:r>
    </w:p>
    <w:p w14:paraId="34580942" w14:textId="77777777" w:rsidR="00722DD9" w:rsidRPr="00A27E71" w:rsidRDefault="00722DD9" w:rsidP="003F1B85">
      <w:pPr>
        <w:rPr>
          <w:rFonts w:cs="Arial"/>
          <w:sz w:val="22"/>
          <w:lang w:val="en-US"/>
        </w:rPr>
      </w:pPr>
    </w:p>
    <w:p w14:paraId="02DF1890" w14:textId="6C100ADB" w:rsidR="00E96FBA" w:rsidRDefault="00E96FBA" w:rsidP="007B4D40">
      <w:pPr>
        <w:pStyle w:val="Heading2"/>
        <w:rPr>
          <w:b/>
          <w:i/>
        </w:rPr>
      </w:pPr>
      <w:r w:rsidRPr="000922AB">
        <w:rPr>
          <w:b/>
          <w:i/>
        </w:rPr>
        <w:lastRenderedPageBreak/>
        <w:t>Proposal</w:t>
      </w:r>
    </w:p>
    <w:p w14:paraId="3E7D74E3" w14:textId="6983637B" w:rsidR="00684A8C" w:rsidRDefault="00EC1252" w:rsidP="00684A8C">
      <w:pPr>
        <w:rPr>
          <w:sz w:val="22"/>
        </w:rPr>
      </w:pPr>
      <w:r>
        <w:rPr>
          <w:sz w:val="22"/>
        </w:rPr>
        <w:t xml:space="preserve">Following discussions with Fastershire, a suggestion was put forward by them around their latest funding route. </w:t>
      </w:r>
      <w:r w:rsidR="00684A8C" w:rsidRPr="00684A8C">
        <w:rPr>
          <w:sz w:val="22"/>
        </w:rPr>
        <w:t>At the Digital Connectivity grou</w:t>
      </w:r>
      <w:r w:rsidR="00684A8C">
        <w:rPr>
          <w:sz w:val="22"/>
        </w:rPr>
        <w:t>p on the 7</w:t>
      </w:r>
      <w:r w:rsidR="00684A8C" w:rsidRPr="00684A8C">
        <w:rPr>
          <w:sz w:val="22"/>
          <w:vertAlign w:val="superscript"/>
        </w:rPr>
        <w:t>th</w:t>
      </w:r>
      <w:r w:rsidR="00684A8C">
        <w:rPr>
          <w:sz w:val="22"/>
        </w:rPr>
        <w:t xml:space="preserve"> October 202</w:t>
      </w:r>
      <w:r>
        <w:rPr>
          <w:sz w:val="22"/>
        </w:rPr>
        <w:t>0, Fastershire gave a presentation on the ‘Cinderford Issue’ and a proposal that FEP acts as the community lead in the deployment of a gigabit network was put forward.</w:t>
      </w:r>
    </w:p>
    <w:p w14:paraId="708C59BF" w14:textId="3D3B6527" w:rsidR="00EC1252" w:rsidRDefault="00EC1252" w:rsidP="00684A8C">
      <w:pPr>
        <w:rPr>
          <w:sz w:val="22"/>
        </w:rPr>
      </w:pPr>
      <w:r>
        <w:rPr>
          <w:sz w:val="22"/>
        </w:rPr>
        <w:t>The proposal would place FEP in a contract with Fastershire (Grant Funder), FEP (Contract Owner), and the selected provider (Broadband Network Builder) to design, build and deploy a new gigabit broadband in the Cinderford Area.</w:t>
      </w:r>
    </w:p>
    <w:p w14:paraId="2AA45ED0" w14:textId="1DB61F2C" w:rsidR="00EC1252" w:rsidRDefault="00EC1252" w:rsidP="00684A8C">
      <w:pPr>
        <w:rPr>
          <w:sz w:val="22"/>
        </w:rPr>
      </w:pPr>
      <w:r>
        <w:rPr>
          <w:sz w:val="22"/>
        </w:rPr>
        <w:t>The contact would be a tri-party contract, with all operational and financial activity being carried out between Fastershire and the Provider. FEP’s involvement would be as a community lead who aggregates demand.</w:t>
      </w:r>
    </w:p>
    <w:p w14:paraId="6ED69068" w14:textId="42F54C3D" w:rsidR="00EC1252" w:rsidRPr="00EC08B7" w:rsidRDefault="00EC1252" w:rsidP="00684A8C">
      <w:pPr>
        <w:rPr>
          <w:rFonts w:cs="Arial"/>
          <w:sz w:val="22"/>
        </w:rPr>
      </w:pPr>
      <w:r w:rsidRPr="00EC08B7">
        <w:rPr>
          <w:rFonts w:cs="Arial"/>
          <w:sz w:val="22"/>
        </w:rPr>
        <w:t>The approximate process would be</w:t>
      </w:r>
    </w:p>
    <w:p w14:paraId="577A9235" w14:textId="41F2310C" w:rsidR="00EC1252" w:rsidRPr="00EC08B7" w:rsidRDefault="00EC1252" w:rsidP="00EC1252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EC08B7">
        <w:rPr>
          <w:rFonts w:ascii="Arial" w:hAnsi="Arial" w:cs="Arial"/>
          <w:sz w:val="22"/>
        </w:rPr>
        <w:t>Enough eligible Cinderford Residents sign up to the Fastershire Website to show there is demand</w:t>
      </w:r>
    </w:p>
    <w:p w14:paraId="03507347" w14:textId="4367A580" w:rsidR="00EC1252" w:rsidRDefault="00EC1252" w:rsidP="00EC1252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EC08B7">
        <w:rPr>
          <w:rFonts w:ascii="Arial" w:hAnsi="Arial" w:cs="Arial"/>
          <w:sz w:val="22"/>
        </w:rPr>
        <w:t xml:space="preserve">FEP / Fastershire </w:t>
      </w:r>
      <w:r w:rsidR="00EC08B7" w:rsidRPr="00EC08B7">
        <w:rPr>
          <w:rFonts w:ascii="Arial" w:hAnsi="Arial" w:cs="Arial"/>
          <w:sz w:val="22"/>
        </w:rPr>
        <w:t xml:space="preserve">put a call out for </w:t>
      </w:r>
      <w:r w:rsidR="00EC08B7">
        <w:rPr>
          <w:rFonts w:ascii="Arial" w:hAnsi="Arial" w:cs="Arial"/>
          <w:sz w:val="22"/>
        </w:rPr>
        <w:t>competitive tendering to install the broadband network</w:t>
      </w:r>
    </w:p>
    <w:p w14:paraId="7285276C" w14:textId="66289E16" w:rsidR="00EC08B7" w:rsidRDefault="00EC08B7" w:rsidP="00EC1252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FEP / Fastershire appoint the broadband network builder</w:t>
      </w:r>
    </w:p>
    <w:p w14:paraId="3F459220" w14:textId="15A54FD9" w:rsidR="00EC08B7" w:rsidRDefault="00EC08B7" w:rsidP="00EC1252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Payment made directly from Fastershire to the Network Builder</w:t>
      </w:r>
    </w:p>
    <w:p w14:paraId="441C1C64" w14:textId="77777777" w:rsidR="00EC08B7" w:rsidRDefault="00EC08B7" w:rsidP="00EC08B7">
      <w:pPr>
        <w:rPr>
          <w:rFonts w:cs="Arial"/>
          <w:sz w:val="22"/>
        </w:rPr>
      </w:pPr>
    </w:p>
    <w:p w14:paraId="01F4F9FF" w14:textId="637CC19A" w:rsidR="00EC08B7" w:rsidRPr="00EC08B7" w:rsidRDefault="00EC08B7" w:rsidP="00EC08B7">
      <w:pPr>
        <w:rPr>
          <w:rFonts w:cs="Arial"/>
          <w:sz w:val="22"/>
        </w:rPr>
      </w:pPr>
      <w:r w:rsidRPr="00EC08B7">
        <w:rPr>
          <w:rFonts w:cs="Arial"/>
          <w:sz w:val="22"/>
        </w:rPr>
        <w:t>Oversight and support from Fastershire and FEP as required</w:t>
      </w:r>
    </w:p>
    <w:p w14:paraId="763DEDE7" w14:textId="77777777" w:rsidR="00EC08B7" w:rsidRDefault="00EC08B7">
      <w:pPr>
        <w:spacing w:line="259" w:lineRule="auto"/>
        <w:rPr>
          <w:rFonts w:eastAsiaTheme="majorEastAsia" w:cstheme="majorBidi"/>
          <w:b/>
          <w:i/>
          <w:color w:val="000000" w:themeColor="text1"/>
          <w:sz w:val="26"/>
          <w:szCs w:val="26"/>
        </w:rPr>
      </w:pPr>
      <w:r>
        <w:rPr>
          <w:b/>
          <w:i/>
        </w:rPr>
        <w:br w:type="page"/>
      </w:r>
    </w:p>
    <w:p w14:paraId="3BCF0116" w14:textId="17CB8870" w:rsidR="000922AB" w:rsidRDefault="000922AB" w:rsidP="000922AB">
      <w:pPr>
        <w:pStyle w:val="Heading2"/>
        <w:rPr>
          <w:b/>
          <w:i/>
        </w:rPr>
      </w:pPr>
      <w:r w:rsidRPr="000922AB">
        <w:rPr>
          <w:b/>
          <w:i/>
        </w:rPr>
        <w:lastRenderedPageBreak/>
        <w:t>SMART Aims</w:t>
      </w:r>
    </w:p>
    <w:p w14:paraId="40D2B4AD" w14:textId="2C40AD9E" w:rsidR="00F450EA" w:rsidRPr="00F450EA" w:rsidRDefault="00F450EA" w:rsidP="000922AB">
      <w:pPr>
        <w:rPr>
          <w:sz w:val="22"/>
        </w:rPr>
      </w:pPr>
      <w:r>
        <w:rPr>
          <w:b/>
          <w:bCs/>
          <w:sz w:val="22"/>
        </w:rPr>
        <w:t>Stage 1 Kick Off:</w:t>
      </w:r>
      <w:r>
        <w:rPr>
          <w:sz w:val="22"/>
        </w:rPr>
        <w:t xml:space="preserve"> We need 50 qualifying residents to sign up to the Fastershire Website. This creates a demonstrable market to encourage network builders to bid.</w:t>
      </w:r>
    </w:p>
    <w:p w14:paraId="6AF779A2" w14:textId="0B8581B4" w:rsidR="00EC08B7" w:rsidRDefault="00F450EA" w:rsidP="000922AB">
      <w:pPr>
        <w:rPr>
          <w:sz w:val="22"/>
        </w:rPr>
      </w:pPr>
      <w:r>
        <w:rPr>
          <w:b/>
          <w:bCs/>
          <w:sz w:val="22"/>
        </w:rPr>
        <w:t xml:space="preserve">Stage 2 </w:t>
      </w:r>
      <w:r w:rsidR="00EC08B7" w:rsidRPr="00EC08B7">
        <w:rPr>
          <w:b/>
          <w:bCs/>
          <w:sz w:val="22"/>
        </w:rPr>
        <w:t>Minimum:</w:t>
      </w:r>
      <w:r w:rsidR="00EC08B7">
        <w:rPr>
          <w:sz w:val="22"/>
        </w:rPr>
        <w:t xml:space="preserve"> To enable the build of a gigabit fibre network within the Cinderford Town Area and to address the lack of Fibre connectivity for the 82 identified premises from the local resident</w:t>
      </w:r>
      <w:r w:rsidR="00446A34" w:rsidRPr="00446A34">
        <w:rPr>
          <w:sz w:val="22"/>
        </w:rPr>
        <w:t>.</w:t>
      </w:r>
    </w:p>
    <w:p w14:paraId="4C80C370" w14:textId="45267A37" w:rsidR="00EC08B7" w:rsidRPr="00F450EA" w:rsidRDefault="00F450EA" w:rsidP="000922AB">
      <w:pPr>
        <w:rPr>
          <w:b/>
          <w:bCs/>
          <w:sz w:val="22"/>
        </w:rPr>
      </w:pPr>
      <w:r>
        <w:rPr>
          <w:b/>
          <w:bCs/>
          <w:sz w:val="22"/>
        </w:rPr>
        <w:t xml:space="preserve">Stage 2 </w:t>
      </w:r>
      <w:r w:rsidR="00EC08B7">
        <w:rPr>
          <w:b/>
          <w:bCs/>
          <w:sz w:val="22"/>
        </w:rPr>
        <w:t>Value Added</w:t>
      </w:r>
      <w:r w:rsidR="00EC08B7">
        <w:rPr>
          <w:sz w:val="22"/>
        </w:rPr>
        <w:t xml:space="preserve">: The build has the widest possible geographic coverage, reaching to </w:t>
      </w:r>
      <w:proofErr w:type="spellStart"/>
      <w:proofErr w:type="gramStart"/>
      <w:r w:rsidR="00EC08B7">
        <w:rPr>
          <w:sz w:val="22"/>
        </w:rPr>
        <w:t>non Fibre</w:t>
      </w:r>
      <w:proofErr w:type="spellEnd"/>
      <w:proofErr w:type="gramEnd"/>
      <w:r w:rsidR="00EC08B7">
        <w:rPr>
          <w:sz w:val="22"/>
        </w:rPr>
        <w:t xml:space="preserve"> premises as far across Cinderford as possible. This would allow connections to all premises within the Fibre build area and increases commercial viability.</w:t>
      </w:r>
    </w:p>
    <w:p w14:paraId="257511B1" w14:textId="17346774" w:rsidR="00446A34" w:rsidRDefault="00446A34" w:rsidP="00446A34">
      <w:pPr>
        <w:pStyle w:val="Heading2"/>
        <w:rPr>
          <w:b/>
          <w:i/>
        </w:rPr>
      </w:pPr>
      <w:r w:rsidRPr="00446A34">
        <w:rPr>
          <w:b/>
          <w:i/>
        </w:rPr>
        <w:t>Resourcing</w:t>
      </w:r>
    </w:p>
    <w:p w14:paraId="507190CD" w14:textId="3956F6CB" w:rsidR="00446A34" w:rsidRDefault="00EC08B7" w:rsidP="00446A34">
      <w:pPr>
        <w:rPr>
          <w:sz w:val="22"/>
        </w:rPr>
      </w:pPr>
      <w:r>
        <w:rPr>
          <w:sz w:val="22"/>
        </w:rPr>
        <w:t>Time from FEP to co-ordinate and organise.</w:t>
      </w:r>
    </w:p>
    <w:p w14:paraId="7884B034" w14:textId="1F4CE015" w:rsidR="00EC08B7" w:rsidRDefault="00EC08B7" w:rsidP="00446A34">
      <w:pPr>
        <w:rPr>
          <w:sz w:val="22"/>
        </w:rPr>
      </w:pPr>
      <w:r>
        <w:rPr>
          <w:sz w:val="22"/>
        </w:rPr>
        <w:t>Legal oversight for FEP relating to contracts.</w:t>
      </w:r>
    </w:p>
    <w:p w14:paraId="2682D131" w14:textId="77777777" w:rsidR="00EC08B7" w:rsidRPr="00446A34" w:rsidRDefault="00EC08B7" w:rsidP="00446A34">
      <w:pPr>
        <w:rPr>
          <w:sz w:val="22"/>
        </w:rPr>
      </w:pPr>
    </w:p>
    <w:p w14:paraId="337E09CA" w14:textId="6104AF03" w:rsidR="00446A34" w:rsidRPr="00446A34" w:rsidRDefault="00446A34" w:rsidP="00446A34">
      <w:pPr>
        <w:pStyle w:val="Heading2"/>
        <w:rPr>
          <w:b/>
          <w:i/>
        </w:rPr>
      </w:pPr>
      <w:r>
        <w:rPr>
          <w:b/>
          <w:i/>
        </w:rPr>
        <w:t>Next Steps</w:t>
      </w:r>
    </w:p>
    <w:p w14:paraId="054A6A12" w14:textId="7AB886F8" w:rsidR="00446A34" w:rsidRDefault="00446A34" w:rsidP="00446A34">
      <w:pPr>
        <w:rPr>
          <w:sz w:val="22"/>
        </w:rPr>
      </w:pPr>
      <w:r w:rsidRPr="00446A34">
        <w:rPr>
          <w:sz w:val="22"/>
        </w:rPr>
        <w:t>Following approval confirm timetable and report back points to sub-group and stakeholders.</w:t>
      </w:r>
    </w:p>
    <w:p w14:paraId="141ECD96" w14:textId="0E15D4B6" w:rsidR="00EC08B7" w:rsidRDefault="00EC08B7" w:rsidP="00446A34">
      <w:pPr>
        <w:rPr>
          <w:sz w:val="22"/>
        </w:rPr>
      </w:pPr>
      <w:r>
        <w:rPr>
          <w:sz w:val="22"/>
        </w:rPr>
        <w:t>Action Communications and Sign Ups to drive the community funding route forward.</w:t>
      </w:r>
    </w:p>
    <w:p w14:paraId="1224B2A6" w14:textId="79215063" w:rsidR="00EC08B7" w:rsidRPr="00446A34" w:rsidRDefault="00EC08B7" w:rsidP="00446A34">
      <w:pPr>
        <w:rPr>
          <w:sz w:val="22"/>
        </w:rPr>
      </w:pPr>
      <w:r>
        <w:rPr>
          <w:sz w:val="22"/>
        </w:rPr>
        <w:t>Sign grant agreements and start process.</w:t>
      </w:r>
    </w:p>
    <w:sectPr w:rsidR="00EC08B7" w:rsidRPr="00446A34" w:rsidSect="00C2780D">
      <w:headerReference w:type="default" r:id="rId7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32429" w14:textId="77777777" w:rsidR="00E00E9D" w:rsidRDefault="00E00E9D" w:rsidP="003F1B85">
      <w:pPr>
        <w:spacing w:after="0"/>
      </w:pPr>
      <w:r>
        <w:separator/>
      </w:r>
    </w:p>
  </w:endnote>
  <w:endnote w:type="continuationSeparator" w:id="0">
    <w:p w14:paraId="2D6BFF1F" w14:textId="77777777" w:rsidR="00E00E9D" w:rsidRDefault="00E00E9D" w:rsidP="003F1B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63B89" w14:textId="77777777" w:rsidR="00E00E9D" w:rsidRDefault="00E00E9D" w:rsidP="003F1B85">
      <w:pPr>
        <w:spacing w:after="0"/>
      </w:pPr>
      <w:r>
        <w:separator/>
      </w:r>
    </w:p>
  </w:footnote>
  <w:footnote w:type="continuationSeparator" w:id="0">
    <w:p w14:paraId="71318A6A" w14:textId="77777777" w:rsidR="00E00E9D" w:rsidRDefault="00E00E9D" w:rsidP="003F1B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EF6CB" w14:textId="02B58034" w:rsidR="003F1B85" w:rsidRDefault="003F1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428E805" wp14:editId="24D97E20">
          <wp:simplePos x="0" y="0"/>
          <wp:positionH relativeFrom="column">
            <wp:posOffset>5433060</wp:posOffset>
          </wp:positionH>
          <wp:positionV relativeFrom="paragraph">
            <wp:posOffset>-295910</wp:posOffset>
          </wp:positionV>
          <wp:extent cx="849630" cy="630555"/>
          <wp:effectExtent l="0" t="0" r="7620" b="0"/>
          <wp:wrapThrough wrapText="bothSides">
            <wp:wrapPolygon edited="0">
              <wp:start x="0" y="0"/>
              <wp:lineTo x="0" y="20882"/>
              <wp:lineTo x="21309" y="20882"/>
              <wp:lineTo x="2130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3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9749F"/>
    <w:multiLevelType w:val="hybridMultilevel"/>
    <w:tmpl w:val="3F286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7222E"/>
    <w:multiLevelType w:val="hybridMultilevel"/>
    <w:tmpl w:val="A2E0135E"/>
    <w:lvl w:ilvl="0" w:tplc="6FB83D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82D37"/>
    <w:multiLevelType w:val="hybridMultilevel"/>
    <w:tmpl w:val="CBCE4A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0569F"/>
    <w:multiLevelType w:val="hybridMultilevel"/>
    <w:tmpl w:val="D6D89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7019E"/>
    <w:multiLevelType w:val="hybridMultilevel"/>
    <w:tmpl w:val="5480256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52DDD"/>
    <w:multiLevelType w:val="hybridMultilevel"/>
    <w:tmpl w:val="42CE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2737B"/>
    <w:multiLevelType w:val="hybridMultilevel"/>
    <w:tmpl w:val="FF864DD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A5CC6"/>
    <w:multiLevelType w:val="hybridMultilevel"/>
    <w:tmpl w:val="A286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C3B6A"/>
    <w:multiLevelType w:val="hybridMultilevel"/>
    <w:tmpl w:val="A9DE3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E3645C"/>
    <w:multiLevelType w:val="hybridMultilevel"/>
    <w:tmpl w:val="6038D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FA621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SyMDM1N7YwtTC2tDRS0lEKTi0uzszPAykwqgUAI0Vf9iwAAAA="/>
  </w:docVars>
  <w:rsids>
    <w:rsidRoot w:val="003F1B85"/>
    <w:rsid w:val="00026659"/>
    <w:rsid w:val="00064585"/>
    <w:rsid w:val="00083C5D"/>
    <w:rsid w:val="000922AB"/>
    <w:rsid w:val="000D240C"/>
    <w:rsid w:val="000E6112"/>
    <w:rsid w:val="000F5D44"/>
    <w:rsid w:val="0010374D"/>
    <w:rsid w:val="001344A2"/>
    <w:rsid w:val="00166841"/>
    <w:rsid w:val="00175D90"/>
    <w:rsid w:val="001851F9"/>
    <w:rsid w:val="001A3F1B"/>
    <w:rsid w:val="001A5C60"/>
    <w:rsid w:val="001E080C"/>
    <w:rsid w:val="002560E6"/>
    <w:rsid w:val="0026277D"/>
    <w:rsid w:val="0028676E"/>
    <w:rsid w:val="002A142E"/>
    <w:rsid w:val="002B4FF0"/>
    <w:rsid w:val="002E066A"/>
    <w:rsid w:val="0038514F"/>
    <w:rsid w:val="00392F4F"/>
    <w:rsid w:val="003D6947"/>
    <w:rsid w:val="003F1B85"/>
    <w:rsid w:val="004153A8"/>
    <w:rsid w:val="00446A34"/>
    <w:rsid w:val="00461950"/>
    <w:rsid w:val="004D56B7"/>
    <w:rsid w:val="0051455A"/>
    <w:rsid w:val="0053028C"/>
    <w:rsid w:val="005573C1"/>
    <w:rsid w:val="005979CC"/>
    <w:rsid w:val="00610F98"/>
    <w:rsid w:val="00614EEC"/>
    <w:rsid w:val="00640640"/>
    <w:rsid w:val="00684A8C"/>
    <w:rsid w:val="006960A2"/>
    <w:rsid w:val="00697F95"/>
    <w:rsid w:val="006D7209"/>
    <w:rsid w:val="00714A7F"/>
    <w:rsid w:val="00717D78"/>
    <w:rsid w:val="00720703"/>
    <w:rsid w:val="00722DD9"/>
    <w:rsid w:val="00774BB6"/>
    <w:rsid w:val="00790555"/>
    <w:rsid w:val="007B4D40"/>
    <w:rsid w:val="008F6E4D"/>
    <w:rsid w:val="00904451"/>
    <w:rsid w:val="009A4E58"/>
    <w:rsid w:val="009E4CF4"/>
    <w:rsid w:val="00A27E71"/>
    <w:rsid w:val="00AC311E"/>
    <w:rsid w:val="00AD298A"/>
    <w:rsid w:val="00AF2D8D"/>
    <w:rsid w:val="00AF5B25"/>
    <w:rsid w:val="00BD06A5"/>
    <w:rsid w:val="00BF68A7"/>
    <w:rsid w:val="00C2780D"/>
    <w:rsid w:val="00C65F15"/>
    <w:rsid w:val="00C70315"/>
    <w:rsid w:val="00C91C64"/>
    <w:rsid w:val="00CC3954"/>
    <w:rsid w:val="00CF61B1"/>
    <w:rsid w:val="00D500E0"/>
    <w:rsid w:val="00D84706"/>
    <w:rsid w:val="00D9576E"/>
    <w:rsid w:val="00E00E9D"/>
    <w:rsid w:val="00E5309E"/>
    <w:rsid w:val="00E85404"/>
    <w:rsid w:val="00E96FBA"/>
    <w:rsid w:val="00EC08B7"/>
    <w:rsid w:val="00EC1252"/>
    <w:rsid w:val="00EE14DE"/>
    <w:rsid w:val="00F0732D"/>
    <w:rsid w:val="00F450EA"/>
    <w:rsid w:val="00F80054"/>
    <w:rsid w:val="00FA02FA"/>
    <w:rsid w:val="00FA5DAC"/>
    <w:rsid w:val="00FE0BBA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5ACB"/>
  <w15:docId w15:val="{3F15EA57-F2FE-4B0F-BEA9-FE2D6A5D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4F"/>
    <w:pPr>
      <w:spacing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B85"/>
    <w:pPr>
      <w:keepNext/>
      <w:keepLines/>
      <w:spacing w:before="120" w:after="12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14F"/>
    <w:pPr>
      <w:keepNext/>
      <w:keepLines/>
      <w:spacing w:before="120" w:after="12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1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B85"/>
    <w:rPr>
      <w:rFonts w:ascii="Arial" w:eastAsiaTheme="majorEastAsia" w:hAnsi="Arial" w:cstheme="majorBidi"/>
      <w:color w:val="000000" w:themeColor="text1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F1B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1B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1B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1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8514F"/>
    <w:rPr>
      <w:rFonts w:ascii="Arial" w:eastAsiaTheme="majorEastAsia" w:hAnsi="Arial" w:cstheme="majorBidi"/>
      <w:color w:val="000000" w:themeColor="tex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BF68A7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CG Times (W1)" w:eastAsia="Calibri" w:hAnsi="CG Times (W1)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F61B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E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Trevelyan</dc:creator>
  <cp:lastModifiedBy>David Trevelyan</cp:lastModifiedBy>
  <cp:revision>2</cp:revision>
  <cp:lastPrinted>2019-03-15T13:47:00Z</cp:lastPrinted>
  <dcterms:created xsi:type="dcterms:W3CDTF">2020-12-15T09:59:00Z</dcterms:created>
  <dcterms:modified xsi:type="dcterms:W3CDTF">2020-12-15T09:59:00Z</dcterms:modified>
</cp:coreProperties>
</file>